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52828" w14:textId="6BB837C8" w:rsidR="00F12F9B" w:rsidRPr="00137661" w:rsidRDefault="00661200" w:rsidP="00137661">
      <w:pPr>
        <w:widowControl/>
        <w:tabs>
          <w:tab w:val="clear" w:pos="720"/>
          <w:tab w:val="clear" w:pos="1440"/>
          <w:tab w:val="clear" w:pos="2160"/>
          <w:tab w:val="clear" w:pos="2880"/>
          <w:tab w:val="clear" w:pos="3600"/>
          <w:tab w:val="clear" w:pos="4320"/>
          <w:tab w:val="clear" w:pos="5760"/>
          <w:tab w:val="clear" w:pos="6480"/>
          <w:tab w:val="clear" w:pos="7920"/>
        </w:tabs>
        <w:ind w:right="-1109"/>
        <w:rPr>
          <w:szCs w:val="22"/>
          <w:lang w:val="fr-FR"/>
        </w:rPr>
      </w:pPr>
      <w:r>
        <w:rPr>
          <w:szCs w:val="22"/>
          <w:lang w:val="fr-FR"/>
        </w:rPr>
        <w:object w:dxaOrig="1440" w:dyaOrig="1440" w14:anchorId="078B4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30.85pt;margin-top:-45.45pt;width:320.1pt;height:28.1pt;z-index:251661312;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1029" DrawAspect="Content" ObjectID="_1698055864" r:id="rId9"/>
        </w:object>
      </w:r>
      <w:r w:rsidR="009F5DBF" w:rsidRPr="00137661">
        <w:rPr>
          <w:szCs w:val="22"/>
          <w:lang w:val="fr-FR"/>
        </w:rPr>
        <w:t xml:space="preserve">CINQUANTE-ET-UNIÈME SESSION ORDINAIRE </w:t>
      </w:r>
      <w:r w:rsidR="009F5DBF" w:rsidRPr="00137661">
        <w:rPr>
          <w:szCs w:val="22"/>
          <w:lang w:val="fr-FR"/>
        </w:rPr>
        <w:tab/>
        <w:t>OEA/Ser.P</w:t>
      </w:r>
    </w:p>
    <w:p w14:paraId="63A27D84" w14:textId="2C5CDA69" w:rsidR="00F12F9B" w:rsidRPr="00137661" w:rsidRDefault="00F12F9B" w:rsidP="00137661">
      <w:pPr>
        <w:widowControl/>
        <w:tabs>
          <w:tab w:val="clear" w:pos="720"/>
          <w:tab w:val="clear" w:pos="1440"/>
          <w:tab w:val="clear" w:pos="2160"/>
          <w:tab w:val="clear" w:pos="2880"/>
          <w:tab w:val="clear" w:pos="3600"/>
          <w:tab w:val="clear" w:pos="4320"/>
          <w:tab w:val="clear" w:pos="5760"/>
          <w:tab w:val="clear" w:pos="6480"/>
          <w:tab w:val="clear" w:pos="7920"/>
        </w:tabs>
        <w:ind w:right="-1469"/>
        <w:jc w:val="left"/>
        <w:rPr>
          <w:szCs w:val="22"/>
          <w:lang w:val="fr-FR"/>
        </w:rPr>
      </w:pPr>
      <w:r w:rsidRPr="00137661">
        <w:rPr>
          <w:szCs w:val="22"/>
          <w:lang w:val="fr-FR"/>
        </w:rPr>
        <w:t>Du 10 au 12 novembre 2021</w:t>
      </w:r>
      <w:r w:rsidRPr="00137661">
        <w:rPr>
          <w:szCs w:val="22"/>
          <w:lang w:val="fr-FR"/>
        </w:rPr>
        <w:tab/>
        <w:t>AG/doc.5749/21</w:t>
      </w:r>
    </w:p>
    <w:p w14:paraId="6BB61BE0" w14:textId="048968DA" w:rsidR="00F12F9B" w:rsidRPr="00137661" w:rsidRDefault="00F12F9B" w:rsidP="00137661">
      <w:pPr>
        <w:widowControl/>
        <w:tabs>
          <w:tab w:val="clear" w:pos="720"/>
          <w:tab w:val="clear" w:pos="1440"/>
          <w:tab w:val="clear" w:pos="2160"/>
          <w:tab w:val="clear" w:pos="2880"/>
          <w:tab w:val="clear" w:pos="3600"/>
          <w:tab w:val="clear" w:pos="4320"/>
          <w:tab w:val="clear" w:pos="5760"/>
          <w:tab w:val="clear" w:pos="6480"/>
          <w:tab w:val="clear" w:pos="7920"/>
        </w:tabs>
        <w:ind w:right="-1109"/>
        <w:rPr>
          <w:szCs w:val="22"/>
          <w:lang w:val="fr-FR"/>
        </w:rPr>
      </w:pPr>
      <w:r w:rsidRPr="00137661">
        <w:rPr>
          <w:szCs w:val="22"/>
          <w:lang w:val="fr-FR"/>
        </w:rPr>
        <w:t>Guatemala, République du Guatemala</w:t>
      </w:r>
      <w:r w:rsidRPr="00137661">
        <w:rPr>
          <w:szCs w:val="22"/>
          <w:lang w:val="fr-FR"/>
        </w:rPr>
        <w:tab/>
        <w:t>10 novembre 2021</w:t>
      </w:r>
    </w:p>
    <w:p w14:paraId="445841EF" w14:textId="58BA8805" w:rsidR="00F12F9B" w:rsidRPr="00137661" w:rsidRDefault="00F12F9B" w:rsidP="00137661">
      <w:pPr>
        <w:widowControl/>
        <w:tabs>
          <w:tab w:val="clear" w:pos="720"/>
          <w:tab w:val="clear" w:pos="1440"/>
          <w:tab w:val="clear" w:pos="2160"/>
          <w:tab w:val="clear" w:pos="2880"/>
          <w:tab w:val="clear" w:pos="3600"/>
          <w:tab w:val="clear" w:pos="4320"/>
          <w:tab w:val="clear" w:pos="5760"/>
          <w:tab w:val="clear" w:pos="6480"/>
          <w:tab w:val="clear" w:pos="7920"/>
        </w:tabs>
        <w:ind w:right="-1109"/>
        <w:rPr>
          <w:szCs w:val="22"/>
          <w:lang w:val="fr-FR"/>
        </w:rPr>
      </w:pPr>
      <w:r w:rsidRPr="00137661">
        <w:rPr>
          <w:szCs w:val="22"/>
          <w:lang w:val="fr-FR"/>
        </w:rPr>
        <w:t xml:space="preserve">SESSION VIRTUELLE </w:t>
      </w:r>
      <w:r w:rsidRPr="00137661">
        <w:rPr>
          <w:szCs w:val="22"/>
          <w:lang w:val="fr-FR"/>
        </w:rPr>
        <w:tab/>
        <w:t xml:space="preserve">Original: </w:t>
      </w:r>
      <w:r w:rsidR="00661200">
        <w:rPr>
          <w:szCs w:val="22"/>
          <w:lang w:val="fr-FR"/>
        </w:rPr>
        <w:t>anglais</w:t>
      </w:r>
    </w:p>
    <w:p w14:paraId="08E6347C" w14:textId="77777777" w:rsidR="00F12F9B" w:rsidRPr="00137661" w:rsidRDefault="00F12F9B" w:rsidP="00137661">
      <w:pPr>
        <w:widowControl/>
        <w:tabs>
          <w:tab w:val="clear" w:pos="720"/>
          <w:tab w:val="clear" w:pos="1440"/>
          <w:tab w:val="clear" w:pos="2160"/>
          <w:tab w:val="clear" w:pos="2880"/>
          <w:tab w:val="clear" w:pos="3600"/>
          <w:tab w:val="clear" w:pos="4320"/>
          <w:tab w:val="clear" w:pos="5760"/>
          <w:tab w:val="clear" w:pos="6480"/>
          <w:tab w:val="clear" w:pos="7920"/>
        </w:tabs>
        <w:ind w:right="-1109"/>
        <w:rPr>
          <w:szCs w:val="22"/>
          <w:lang w:val="fr-FR"/>
        </w:rPr>
      </w:pPr>
    </w:p>
    <w:p w14:paraId="0278378B" w14:textId="07870BFB" w:rsidR="00F12F9B" w:rsidRPr="00137661" w:rsidRDefault="00F12F9B" w:rsidP="00137661">
      <w:pPr>
        <w:widowControl/>
        <w:tabs>
          <w:tab w:val="clear" w:pos="720"/>
          <w:tab w:val="clear" w:pos="1440"/>
          <w:tab w:val="clear" w:pos="2160"/>
          <w:tab w:val="clear" w:pos="2880"/>
          <w:tab w:val="clear" w:pos="3600"/>
          <w:tab w:val="clear" w:pos="4320"/>
          <w:tab w:val="clear" w:pos="5760"/>
          <w:tab w:val="clear" w:pos="6480"/>
          <w:tab w:val="clear" w:pos="7920"/>
        </w:tabs>
        <w:ind w:right="-1109"/>
        <w:rPr>
          <w:szCs w:val="22"/>
          <w:u w:val="single"/>
          <w:lang w:val="fr-FR"/>
        </w:rPr>
      </w:pPr>
      <w:r w:rsidRPr="00137661">
        <w:rPr>
          <w:szCs w:val="22"/>
          <w:lang w:val="fr-FR"/>
        </w:rPr>
        <w:tab/>
      </w:r>
      <w:r w:rsidRPr="00137661">
        <w:rPr>
          <w:szCs w:val="22"/>
          <w:u w:val="single"/>
          <w:lang w:val="fr-FR"/>
        </w:rPr>
        <w:t>Point 2</w:t>
      </w:r>
      <w:r w:rsidR="0081418D">
        <w:rPr>
          <w:szCs w:val="22"/>
          <w:u w:val="single"/>
          <w:lang w:val="fr-FR"/>
        </w:rPr>
        <w:t>4</w:t>
      </w:r>
      <w:r w:rsidRPr="00137661">
        <w:rPr>
          <w:szCs w:val="22"/>
          <w:u w:val="single"/>
          <w:lang w:val="fr-FR"/>
        </w:rPr>
        <w:t xml:space="preserve"> de l’ordre du jour</w:t>
      </w:r>
    </w:p>
    <w:p w14:paraId="18D99A28" w14:textId="77777777" w:rsidR="00C640AC" w:rsidRPr="00137661" w:rsidRDefault="00C640AC"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fr-FR"/>
        </w:rPr>
      </w:pPr>
    </w:p>
    <w:p w14:paraId="6EFBA7E7" w14:textId="77777777" w:rsidR="00C640AC" w:rsidRPr="00137661" w:rsidRDefault="00C640AC"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fr-FR"/>
        </w:rPr>
      </w:pPr>
    </w:p>
    <w:p w14:paraId="47652BAC" w14:textId="77777777" w:rsidR="00C640AC" w:rsidRPr="00137661" w:rsidRDefault="00C640AC"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fr-FR"/>
        </w:rPr>
      </w:pPr>
    </w:p>
    <w:p w14:paraId="0F494EE9" w14:textId="77777777" w:rsidR="00C640AC" w:rsidRPr="00137661" w:rsidRDefault="00C640AC"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fr-FR"/>
        </w:rPr>
      </w:pPr>
    </w:p>
    <w:p w14:paraId="0A6509EE" w14:textId="77777777" w:rsidR="00C640AC" w:rsidRPr="00137661" w:rsidRDefault="00C640AC"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fr-FR"/>
        </w:rPr>
      </w:pPr>
    </w:p>
    <w:p w14:paraId="613A954C" w14:textId="77777777" w:rsidR="00C640AC" w:rsidRPr="00137661" w:rsidRDefault="00C640AC"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fr-FR"/>
        </w:rPr>
      </w:pPr>
    </w:p>
    <w:p w14:paraId="1F7E7A66" w14:textId="77777777" w:rsidR="00C640AC" w:rsidRPr="00137661" w:rsidRDefault="00C640AC"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fr-FR"/>
        </w:rPr>
      </w:pPr>
    </w:p>
    <w:p w14:paraId="3F2CE562" w14:textId="77777777" w:rsidR="00947882" w:rsidRPr="00137661" w:rsidRDefault="00947882"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fr-FR"/>
        </w:rPr>
      </w:pPr>
    </w:p>
    <w:p w14:paraId="3868C77B" w14:textId="77777777" w:rsidR="00C640AC" w:rsidRPr="00137661" w:rsidRDefault="00C640AC"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fr-FR"/>
        </w:rPr>
      </w:pPr>
    </w:p>
    <w:p w14:paraId="26B97C39" w14:textId="77777777" w:rsidR="006E505D" w:rsidRPr="00137661" w:rsidRDefault="006E505D"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fr-FR"/>
        </w:rPr>
      </w:pPr>
    </w:p>
    <w:p w14:paraId="34DF5593" w14:textId="75F75C99" w:rsidR="00C640AC" w:rsidRPr="00137661" w:rsidRDefault="00C640AC"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fr-FR"/>
        </w:rPr>
      </w:pPr>
    </w:p>
    <w:p w14:paraId="2DA840C2" w14:textId="2A151400" w:rsidR="001A0418" w:rsidRPr="00137661" w:rsidRDefault="001A0418"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fr-FR"/>
        </w:rPr>
      </w:pPr>
    </w:p>
    <w:p w14:paraId="05AD1467" w14:textId="77777777" w:rsidR="00F12F9B" w:rsidRPr="00137661" w:rsidRDefault="00F12F9B"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fr-FR"/>
        </w:rPr>
      </w:pPr>
    </w:p>
    <w:p w14:paraId="76E2AB16" w14:textId="77777777" w:rsidR="00C640AC" w:rsidRPr="00137661" w:rsidRDefault="00C640AC"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fr-FR"/>
        </w:rPr>
      </w:pPr>
    </w:p>
    <w:p w14:paraId="3DB9718C" w14:textId="50FEAA59" w:rsidR="00372B42" w:rsidRPr="00137661" w:rsidRDefault="00372B42"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jc w:val="center"/>
        <w:rPr>
          <w:szCs w:val="22"/>
          <w:lang w:val="fr-FR"/>
        </w:rPr>
      </w:pPr>
      <w:r w:rsidRPr="00137661">
        <w:rPr>
          <w:szCs w:val="22"/>
          <w:lang w:val="fr-FR"/>
        </w:rPr>
        <w:t>NOTE DE LA MISSION PERMANENTE DU CANADA TRANSMETTANT, EN SON NOM PROPRE ET AU NOM DES MISSIONS PERMANENTES D'ANTIGUA-ET-BARBUDA, DU CHILI, DU COSTA RICA, DE L’ÉQUATEUR, DES ÉTATS-UNIS</w:t>
      </w:r>
      <w:r w:rsidR="00555870" w:rsidRPr="00137661">
        <w:rPr>
          <w:szCs w:val="22"/>
          <w:lang w:val="fr-FR"/>
        </w:rPr>
        <w:t xml:space="preserve">, </w:t>
      </w:r>
      <w:r w:rsidR="003E1131" w:rsidRPr="00137661">
        <w:rPr>
          <w:szCs w:val="22"/>
          <w:lang w:val="fr-FR"/>
        </w:rPr>
        <w:t>DE LA RÉPUBLIQUE DOMINICAINE ET DE L’URUGUAY, LE PROJET DE RÉSOLUTION « LA SITUA</w:t>
      </w:r>
      <w:r w:rsidRPr="00137661">
        <w:rPr>
          <w:szCs w:val="22"/>
          <w:lang w:val="fr-FR"/>
        </w:rPr>
        <w:t xml:space="preserve">TION AU NICARAGUA » AUX FINS D’EXAMEN AU TITRE DU POINT CORRESPONDANT DE L’ORDRE DU JOUR DE LA CINQUANTE-ET-UNIÈME SESSION ORDINAIRE </w:t>
      </w:r>
      <w:r w:rsidR="00CE6B7C">
        <w:rPr>
          <w:szCs w:val="22"/>
          <w:lang w:val="fr-FR"/>
        </w:rPr>
        <w:br/>
      </w:r>
      <w:r w:rsidRPr="00137661">
        <w:rPr>
          <w:szCs w:val="22"/>
          <w:lang w:val="fr-FR"/>
        </w:rPr>
        <w:t>DE L’ASSEMBLÉE GÉNÉRALE</w:t>
      </w:r>
    </w:p>
    <w:p w14:paraId="562671CA" w14:textId="55594B6F" w:rsidR="00372B42" w:rsidRPr="00137661" w:rsidRDefault="00372B42"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jc w:val="center"/>
        <w:rPr>
          <w:szCs w:val="22"/>
          <w:lang w:val="fr-FR"/>
        </w:rPr>
        <w:sectPr w:rsidR="00372B42" w:rsidRPr="00137661" w:rsidSect="001A0418">
          <w:headerReference w:type="first" r:id="rId10"/>
          <w:type w:val="oddPage"/>
          <w:pgSz w:w="12240" w:h="15840" w:code="1"/>
          <w:pgMar w:top="2160" w:right="1570" w:bottom="1296" w:left="1699" w:header="1296" w:footer="1296" w:gutter="0"/>
          <w:cols w:space="720"/>
          <w:docGrid w:linePitch="360"/>
        </w:sectPr>
      </w:pPr>
    </w:p>
    <w:p w14:paraId="41116EF5" w14:textId="5FC55E26" w:rsidR="001B252C" w:rsidRPr="00137661" w:rsidRDefault="003E1131"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b/>
          <w:bCs/>
          <w:i/>
          <w:iCs/>
          <w:szCs w:val="22"/>
          <w:lang w:val="fr-FR"/>
        </w:rPr>
      </w:pPr>
      <w:r w:rsidRPr="00137661">
        <w:rPr>
          <w:b/>
          <w:bCs/>
          <w:i/>
          <w:iCs/>
          <w:szCs w:val="22"/>
          <w:lang w:val="fr-FR"/>
        </w:rPr>
        <w:lastRenderedPageBreak/>
        <w:t>MISSION PERMANENTE DU CANADA</w:t>
      </w:r>
    </w:p>
    <w:p w14:paraId="49450B0A" w14:textId="6BA799B6" w:rsidR="00555870" w:rsidRPr="00137661" w:rsidRDefault="003E1131"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b/>
          <w:bCs/>
          <w:i/>
          <w:iCs/>
          <w:szCs w:val="22"/>
          <w:lang w:val="fr-FR"/>
        </w:rPr>
      </w:pPr>
      <w:r w:rsidRPr="00137661">
        <w:rPr>
          <w:b/>
          <w:bCs/>
          <w:i/>
          <w:iCs/>
          <w:szCs w:val="22"/>
          <w:lang w:val="fr-FR"/>
        </w:rPr>
        <w:t>PRÈS L’ORGANISATION DES ÉTATS AMÉRICAINS</w:t>
      </w:r>
    </w:p>
    <w:p w14:paraId="43FFE13A" w14:textId="6239D2FE" w:rsidR="00555870" w:rsidRDefault="00555870"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szCs w:val="22"/>
          <w:lang w:val="fr-FR"/>
        </w:rPr>
      </w:pPr>
    </w:p>
    <w:p w14:paraId="5F603995" w14:textId="77777777" w:rsidR="00137661" w:rsidRPr="00137661" w:rsidRDefault="00137661"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szCs w:val="22"/>
          <w:lang w:val="fr-FR"/>
        </w:rPr>
      </w:pPr>
    </w:p>
    <w:p w14:paraId="501C0BF9" w14:textId="77777777" w:rsidR="00555870" w:rsidRPr="00137661" w:rsidRDefault="00555870"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szCs w:val="22"/>
          <w:lang w:val="fr-FR"/>
        </w:rPr>
      </w:pPr>
    </w:p>
    <w:p w14:paraId="3CDC63DA" w14:textId="77777777" w:rsidR="00555870" w:rsidRPr="00137661" w:rsidRDefault="00555870"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szCs w:val="22"/>
          <w:lang w:val="fr-FR"/>
        </w:rPr>
      </w:pPr>
    </w:p>
    <w:p w14:paraId="4EB616AC" w14:textId="2B57AA45" w:rsidR="00555870" w:rsidRPr="00137661" w:rsidRDefault="00555870"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szCs w:val="22"/>
          <w:lang w:val="fr-FR"/>
        </w:rPr>
      </w:pPr>
      <w:r w:rsidRPr="00137661">
        <w:rPr>
          <w:szCs w:val="22"/>
          <w:lang w:val="fr-FR"/>
        </w:rPr>
        <w:t xml:space="preserve">Note </w:t>
      </w:r>
      <w:r w:rsidR="003E1131" w:rsidRPr="00137661">
        <w:rPr>
          <w:szCs w:val="22"/>
          <w:lang w:val="fr-FR"/>
        </w:rPr>
        <w:t>n</w:t>
      </w:r>
      <w:r w:rsidR="003E1131" w:rsidRPr="00137661">
        <w:rPr>
          <w:szCs w:val="22"/>
          <w:vertAlign w:val="superscript"/>
          <w:lang w:val="fr-FR"/>
        </w:rPr>
        <w:t>o</w:t>
      </w:r>
      <w:r w:rsidR="003E1131" w:rsidRPr="00137661">
        <w:rPr>
          <w:szCs w:val="22"/>
          <w:lang w:val="fr-FR"/>
        </w:rPr>
        <w:t xml:space="preserve"> </w:t>
      </w:r>
      <w:r w:rsidRPr="00137661">
        <w:rPr>
          <w:szCs w:val="22"/>
          <w:lang w:val="fr-FR"/>
        </w:rPr>
        <w:t>1422 (révisée)</w:t>
      </w:r>
    </w:p>
    <w:p w14:paraId="5C35C3DF" w14:textId="77777777" w:rsidR="00555870" w:rsidRPr="00137661" w:rsidRDefault="00555870"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szCs w:val="22"/>
          <w:lang w:val="fr-FR"/>
        </w:rPr>
      </w:pPr>
    </w:p>
    <w:p w14:paraId="6DF94396" w14:textId="77777777" w:rsidR="00555870" w:rsidRPr="00137661" w:rsidRDefault="00555870"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szCs w:val="22"/>
          <w:lang w:val="fr-FR"/>
        </w:rPr>
      </w:pPr>
    </w:p>
    <w:p w14:paraId="6B8A6A4C" w14:textId="098DE4C5" w:rsidR="00555870" w:rsidRPr="00137661" w:rsidRDefault="003E1131"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right="-29"/>
        <w:rPr>
          <w:szCs w:val="22"/>
          <w:lang w:val="fr-FR"/>
        </w:rPr>
      </w:pPr>
      <w:r w:rsidRPr="00137661">
        <w:rPr>
          <w:szCs w:val="22"/>
          <w:lang w:val="fr-FR"/>
        </w:rPr>
        <w:tab/>
      </w:r>
      <w:r w:rsidR="00555870" w:rsidRPr="00137661">
        <w:rPr>
          <w:szCs w:val="22"/>
          <w:lang w:val="fr-FR"/>
        </w:rPr>
        <w:t xml:space="preserve">La Mission permanente du Canada près l’Organisation des États Américains (OEA) présente ses compliments à la présidence du Conseil permanent de l'OEA et, au nom des missions permanentes </w:t>
      </w:r>
      <w:r w:rsidRPr="00137661">
        <w:rPr>
          <w:szCs w:val="22"/>
          <w:lang w:val="fr-FR"/>
        </w:rPr>
        <w:t xml:space="preserve">d'Antigua-et-Barbuda, du Chili, du Costa Rica, de l’Équateur, des États-Unis, de la République dominicaine et de l’Uruguay près </w:t>
      </w:r>
      <w:r w:rsidR="00555870" w:rsidRPr="00137661">
        <w:rPr>
          <w:szCs w:val="22"/>
          <w:lang w:val="fr-FR"/>
        </w:rPr>
        <w:t>l'OEA et en son nom propre, a l’honneur de transmettre un projet de résolution sur « La situation au Nicaragua » aux fins d’examen par l'Assemblée générale lors de sa cinquante-et-unième session ordinaire qui se déroule en mode virtuel du 10 au 12 novembre 2021.</w:t>
      </w:r>
    </w:p>
    <w:p w14:paraId="7270954D" w14:textId="641C8F60" w:rsidR="00555870" w:rsidRPr="00137661" w:rsidRDefault="00555870"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right="-29"/>
        <w:rPr>
          <w:szCs w:val="22"/>
          <w:lang w:val="fr-FR"/>
        </w:rPr>
      </w:pPr>
    </w:p>
    <w:p w14:paraId="36B53F00" w14:textId="587D5AA5" w:rsidR="00555870" w:rsidRPr="00137661" w:rsidRDefault="003E1131"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right="-29"/>
        <w:rPr>
          <w:szCs w:val="22"/>
          <w:lang w:val="fr-FR"/>
        </w:rPr>
      </w:pPr>
      <w:r w:rsidRPr="00137661">
        <w:rPr>
          <w:szCs w:val="22"/>
          <w:lang w:val="fr-FR"/>
        </w:rPr>
        <w:tab/>
      </w:r>
      <w:r w:rsidR="00555870" w:rsidRPr="00137661">
        <w:rPr>
          <w:szCs w:val="22"/>
          <w:lang w:val="fr-FR"/>
        </w:rPr>
        <w:t xml:space="preserve">La Mission permanente du Canada près l'OEA, </w:t>
      </w:r>
      <w:r w:rsidRPr="00137661">
        <w:rPr>
          <w:szCs w:val="22"/>
          <w:lang w:val="fr-FR"/>
        </w:rPr>
        <w:t>au nom des missions permanentes d'Antigua-et-Barbuda, du Chili, du Costa Rica, de l’Équateur, des États-Unis, de la République dominicaine et de l’Uruguay près l'OEA</w:t>
      </w:r>
      <w:r w:rsidR="00555870" w:rsidRPr="00137661">
        <w:rPr>
          <w:szCs w:val="22"/>
          <w:lang w:val="fr-FR"/>
        </w:rPr>
        <w:t>, saisit l'occasion pour renouveler à la présidence du Conseil permanent les assurances de sa plus haute considération.</w:t>
      </w:r>
    </w:p>
    <w:p w14:paraId="5C07991B" w14:textId="2A898344" w:rsidR="00555870" w:rsidRPr="00137661" w:rsidRDefault="00555870"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right="-29"/>
        <w:rPr>
          <w:szCs w:val="22"/>
          <w:lang w:val="fr-FR"/>
        </w:rPr>
      </w:pPr>
    </w:p>
    <w:p w14:paraId="787D951A" w14:textId="2670CACF" w:rsidR="00555870" w:rsidRPr="00137661" w:rsidRDefault="00555870"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right="-29"/>
        <w:jc w:val="right"/>
        <w:rPr>
          <w:szCs w:val="22"/>
          <w:lang w:val="fr-FR"/>
        </w:rPr>
      </w:pPr>
      <w:r w:rsidRPr="00137661">
        <w:rPr>
          <w:szCs w:val="22"/>
          <w:lang w:val="fr-FR"/>
        </w:rPr>
        <w:t>Washington, D.C., le 10 novembre 2021</w:t>
      </w:r>
    </w:p>
    <w:p w14:paraId="50212EC1" w14:textId="240B8DDD" w:rsidR="00555870" w:rsidRPr="00137661" w:rsidRDefault="00555870"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right="-29"/>
        <w:jc w:val="center"/>
        <w:rPr>
          <w:szCs w:val="22"/>
          <w:lang w:val="fr-FR"/>
        </w:rPr>
      </w:pPr>
    </w:p>
    <w:p w14:paraId="6A4E1267" w14:textId="77777777" w:rsidR="00555870" w:rsidRPr="00137661" w:rsidRDefault="00555870"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right="-29"/>
        <w:jc w:val="center"/>
        <w:rPr>
          <w:color w:val="000000"/>
          <w:szCs w:val="22"/>
          <w:lang w:val="fr-FR"/>
        </w:rPr>
      </w:pPr>
    </w:p>
    <w:p w14:paraId="5E17627C" w14:textId="381CD9C0" w:rsidR="00555870" w:rsidRPr="00137661" w:rsidRDefault="00555870"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szCs w:val="22"/>
          <w:lang w:val="fr-FR"/>
        </w:rPr>
        <w:sectPr w:rsidR="00555870" w:rsidRPr="00137661" w:rsidSect="00F12F9B">
          <w:headerReference w:type="default" r:id="rId11"/>
          <w:headerReference w:type="first" r:id="rId12"/>
          <w:type w:val="oddPage"/>
          <w:pgSz w:w="12240" w:h="15840" w:code="1"/>
          <w:pgMar w:top="2160" w:right="1570" w:bottom="1296" w:left="1699" w:header="1296" w:footer="1296" w:gutter="0"/>
          <w:pgNumType w:start="1"/>
          <w:cols w:space="720"/>
          <w:titlePg/>
          <w:docGrid w:linePitch="360"/>
        </w:sectPr>
      </w:pPr>
    </w:p>
    <w:p w14:paraId="55A3761C" w14:textId="266E0809" w:rsidR="00BC6CAE" w:rsidRPr="00137661" w:rsidRDefault="00BC6CAE"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szCs w:val="22"/>
          <w:lang w:val="fr-FR"/>
        </w:rPr>
      </w:pPr>
      <w:r w:rsidRPr="00137661">
        <w:rPr>
          <w:szCs w:val="22"/>
          <w:lang w:val="fr-FR"/>
        </w:rPr>
        <w:lastRenderedPageBreak/>
        <w:t>PROJET DE RÉSOLUTION</w:t>
      </w:r>
    </w:p>
    <w:p w14:paraId="1C6EC6F9" w14:textId="77777777" w:rsidR="00137661" w:rsidRDefault="00137661"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szCs w:val="22"/>
          <w:lang w:val="fr-FR"/>
        </w:rPr>
      </w:pPr>
    </w:p>
    <w:p w14:paraId="76947BC7" w14:textId="238E12AA" w:rsidR="00372B42" w:rsidRPr="00137661" w:rsidRDefault="00372B42"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szCs w:val="22"/>
          <w:lang w:val="fr-FR"/>
        </w:rPr>
      </w:pPr>
      <w:r w:rsidRPr="00137661">
        <w:rPr>
          <w:szCs w:val="22"/>
          <w:lang w:val="fr-FR"/>
        </w:rPr>
        <w:t>LA SITUATION AU NICARAGUA</w:t>
      </w:r>
    </w:p>
    <w:p w14:paraId="395D785B" w14:textId="5F29FE6D" w:rsidR="00372B42" w:rsidRPr="00137661" w:rsidRDefault="00372B42"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right="-29"/>
        <w:jc w:val="center"/>
        <w:rPr>
          <w:color w:val="000000"/>
          <w:szCs w:val="22"/>
          <w:lang w:val="fr-FR"/>
        </w:rPr>
      </w:pPr>
    </w:p>
    <w:p w14:paraId="691281DF" w14:textId="6E2C8DBC" w:rsidR="00BC6CAE" w:rsidRPr="00137661" w:rsidRDefault="00BC6CAE"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right="-29"/>
        <w:jc w:val="center"/>
        <w:rPr>
          <w:color w:val="000000"/>
          <w:szCs w:val="22"/>
          <w:lang w:val="fr-FR"/>
        </w:rPr>
      </w:pPr>
      <w:r w:rsidRPr="00137661">
        <w:rPr>
          <w:color w:val="000000"/>
          <w:szCs w:val="22"/>
          <w:lang w:val="fr-FR"/>
        </w:rPr>
        <w:t xml:space="preserve">(Déposé par la délégation du Canada </w:t>
      </w:r>
      <w:r w:rsidRPr="00137661">
        <w:rPr>
          <w:szCs w:val="22"/>
          <w:lang w:val="fr-FR"/>
        </w:rPr>
        <w:t xml:space="preserve">en son nom propre et au nom des délégations </w:t>
      </w:r>
      <w:r w:rsidR="00ED7E5F">
        <w:rPr>
          <w:szCs w:val="22"/>
          <w:lang w:val="fr-FR"/>
        </w:rPr>
        <w:br/>
      </w:r>
      <w:r w:rsidRPr="00137661">
        <w:rPr>
          <w:szCs w:val="22"/>
          <w:lang w:val="fr-FR"/>
        </w:rPr>
        <w:t>d'Antigua-et-Barbuda, du Chili, du Costa Rica, de l'Équateur, des États-Unis</w:t>
      </w:r>
      <w:r w:rsidR="003E1131" w:rsidRPr="00137661">
        <w:rPr>
          <w:szCs w:val="22"/>
          <w:lang w:val="fr-FR"/>
        </w:rPr>
        <w:t xml:space="preserve">, </w:t>
      </w:r>
      <w:r w:rsidR="00ED7E5F">
        <w:rPr>
          <w:szCs w:val="22"/>
          <w:lang w:val="fr-FR"/>
        </w:rPr>
        <w:br/>
      </w:r>
      <w:r w:rsidR="003E1131" w:rsidRPr="00137661">
        <w:rPr>
          <w:szCs w:val="22"/>
          <w:lang w:val="fr-FR"/>
        </w:rPr>
        <w:t xml:space="preserve">de la République dominicaine </w:t>
      </w:r>
      <w:r w:rsidRPr="00137661">
        <w:rPr>
          <w:szCs w:val="22"/>
          <w:lang w:val="fr-FR"/>
        </w:rPr>
        <w:t>et de l'Uruguay)</w:t>
      </w:r>
    </w:p>
    <w:p w14:paraId="79AA0A53" w14:textId="3F35B98E" w:rsidR="00372B42" w:rsidRPr="00137661" w:rsidRDefault="00372B42" w:rsidP="00ED7E5F">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right="-29"/>
        <w:rPr>
          <w:color w:val="000000"/>
          <w:szCs w:val="22"/>
          <w:lang w:val="fr-FR"/>
        </w:rPr>
      </w:pPr>
    </w:p>
    <w:p w14:paraId="0B1C602B" w14:textId="77777777" w:rsidR="00AF371B" w:rsidRPr="00137661" w:rsidRDefault="00AF371B" w:rsidP="00ED7E5F">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right="-29"/>
        <w:rPr>
          <w:color w:val="000000"/>
          <w:szCs w:val="22"/>
          <w:lang w:val="fr-FR"/>
        </w:rPr>
      </w:pPr>
    </w:p>
    <w:p w14:paraId="51DF06A9" w14:textId="77777777" w:rsidR="00372B42" w:rsidRPr="00137661" w:rsidRDefault="00372B42"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szCs w:val="22"/>
          <w:lang w:val="fr-FR"/>
        </w:rPr>
      </w:pPr>
      <w:r w:rsidRPr="00137661">
        <w:rPr>
          <w:szCs w:val="22"/>
          <w:lang w:val="fr-FR"/>
        </w:rPr>
        <w:t xml:space="preserve">L’ASSEMBLÉE GÉNÉRALE DE L’ORGANISATION DES ÉTATS AMÉRICAINS, </w:t>
      </w:r>
    </w:p>
    <w:p w14:paraId="740F65CC" w14:textId="77777777" w:rsidR="00372B42" w:rsidRPr="00137661" w:rsidRDefault="00372B42" w:rsidP="00ED7E5F">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fr-FR"/>
        </w:rPr>
      </w:pPr>
    </w:p>
    <w:p w14:paraId="0DC12C3D" w14:textId="77777777" w:rsidR="00372B42" w:rsidRPr="00137661" w:rsidRDefault="00372B42"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szCs w:val="22"/>
          <w:lang w:val="fr-FR"/>
        </w:rPr>
      </w:pPr>
      <w:r w:rsidRPr="00137661">
        <w:rPr>
          <w:szCs w:val="22"/>
          <w:lang w:val="fr-FR"/>
        </w:rPr>
        <w:t>RÉAFFIRMANT la Charte démocratique interaméricaine, qui établit que « [l]es peuples des Amériques ont droit à la démocratie et leurs gouvernements ont pour obligation de la promouvoir et de la défendre »,</w:t>
      </w:r>
    </w:p>
    <w:p w14:paraId="46CACDA4" w14:textId="77777777" w:rsidR="00372B42" w:rsidRPr="00137661" w:rsidRDefault="00372B42" w:rsidP="00ED7E5F">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fr-FR"/>
        </w:rPr>
      </w:pPr>
    </w:p>
    <w:p w14:paraId="6D3FF03B" w14:textId="77777777" w:rsidR="00372B42" w:rsidRPr="00137661" w:rsidRDefault="00372B42"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szCs w:val="22"/>
          <w:lang w:val="fr-FR"/>
        </w:rPr>
      </w:pPr>
      <w:r w:rsidRPr="00137661">
        <w:rPr>
          <w:szCs w:val="22"/>
          <w:lang w:val="fr-FR"/>
        </w:rPr>
        <w:t xml:space="preserve">CONSCIENTE des résolutions et des mandats, adoptés depuis 2018, qui exhortent au maintien et au renforcement des institutions démocratiques et des droits de la personne au Nicaragua, et des nombreux efforts déployés par l'Organisation des États Américains (OEA) pour s’entretenir de manière constructive avec le Gouvernement du Nicaragua afin d'aider au dialogue politique et à la réforme électorale, </w:t>
      </w:r>
    </w:p>
    <w:p w14:paraId="48EFF79A" w14:textId="77777777" w:rsidR="00372B42" w:rsidRPr="00137661" w:rsidRDefault="00372B42" w:rsidP="00ED7E5F">
      <w:pPr>
        <w:widowControl/>
        <w:tabs>
          <w:tab w:val="clear" w:pos="720"/>
          <w:tab w:val="clear" w:pos="1440"/>
          <w:tab w:val="clear" w:pos="2160"/>
          <w:tab w:val="clear" w:pos="2880"/>
          <w:tab w:val="clear" w:pos="3600"/>
          <w:tab w:val="clear" w:pos="4320"/>
          <w:tab w:val="clear" w:pos="5760"/>
          <w:tab w:val="clear" w:pos="6480"/>
          <w:tab w:val="clear" w:pos="7200"/>
          <w:tab w:val="clear" w:pos="7920"/>
        </w:tabs>
        <w:rPr>
          <w:color w:val="000000" w:themeColor="text1"/>
          <w:szCs w:val="22"/>
          <w:lang w:val="fr-FR"/>
        </w:rPr>
      </w:pPr>
    </w:p>
    <w:p w14:paraId="38FAA5A3" w14:textId="77777777" w:rsidR="00372B42" w:rsidRPr="00137661" w:rsidRDefault="00372B42"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color w:val="000000" w:themeColor="text1"/>
          <w:szCs w:val="22"/>
          <w:lang w:val="fr-FR"/>
        </w:rPr>
      </w:pPr>
      <w:r w:rsidRPr="00137661">
        <w:rPr>
          <w:color w:val="000000" w:themeColor="text1"/>
          <w:szCs w:val="22"/>
          <w:lang w:val="fr-FR"/>
        </w:rPr>
        <w:t>PROFONDÉMENT PRÉOCCUPÉE par le fait que le Gouvernement du Nicaragua a écarté toutes les recommandations de l'OEA et, selon des rapports faisant autorité de la Commission interaméricaine des droits de l'homme et du Haut-Commissariat des Nations Unies aux droits de l'homme (HCDH), a harcelé, restreint et arrêté des candidats, des partis, des médias indépendants et la société civile dans le cadre du processus électoral, ce qui est en désaccord avec les articles 2 et 3 de la Charte démocratique interaméricaine,</w:t>
      </w:r>
    </w:p>
    <w:p w14:paraId="02B13E21" w14:textId="77777777" w:rsidR="00372B42" w:rsidRPr="00137661" w:rsidRDefault="00372B42" w:rsidP="00ED7E5F">
      <w:pPr>
        <w:widowControl/>
        <w:tabs>
          <w:tab w:val="clear" w:pos="720"/>
          <w:tab w:val="clear" w:pos="1440"/>
          <w:tab w:val="clear" w:pos="2160"/>
          <w:tab w:val="clear" w:pos="2880"/>
          <w:tab w:val="clear" w:pos="3600"/>
          <w:tab w:val="clear" w:pos="4320"/>
          <w:tab w:val="clear" w:pos="5760"/>
          <w:tab w:val="clear" w:pos="6480"/>
          <w:tab w:val="clear" w:pos="7200"/>
          <w:tab w:val="clear" w:pos="7920"/>
        </w:tabs>
        <w:rPr>
          <w:color w:val="000000" w:themeColor="text1"/>
          <w:szCs w:val="22"/>
          <w:lang w:val="fr-FR"/>
        </w:rPr>
      </w:pPr>
    </w:p>
    <w:p w14:paraId="64A91848" w14:textId="1DE4636D" w:rsidR="00372B42" w:rsidRPr="00137661" w:rsidRDefault="00372B42"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color w:val="000000" w:themeColor="text1"/>
          <w:szCs w:val="22"/>
          <w:lang w:val="fr-FR"/>
        </w:rPr>
      </w:pPr>
      <w:r w:rsidRPr="00137661">
        <w:rPr>
          <w:color w:val="000000" w:themeColor="text1"/>
          <w:szCs w:val="22"/>
          <w:lang w:val="fr-FR"/>
        </w:rPr>
        <w:t xml:space="preserve">ALARMÉE par les conclusions de la CIDH, dans son rapport « Nicaragua : Concentration du pouvoir et affaiblissement de l'État de droit » publié le 25 </w:t>
      </w:r>
      <w:r w:rsidRPr="00137661">
        <w:rPr>
          <w:szCs w:val="22"/>
          <w:lang w:val="fr-FR"/>
        </w:rPr>
        <w:t xml:space="preserve">octobre 2021, qui affirme que « un État policier a également été instauré » au moyen de la répression, de la corruption, de la fraude électorale et de l'impunité structurelle conçues par le Gouvernement </w:t>
      </w:r>
      <w:r w:rsidRPr="00137661">
        <w:rPr>
          <w:color w:val="000000" w:themeColor="text1"/>
          <w:szCs w:val="22"/>
          <w:lang w:val="fr-FR"/>
        </w:rPr>
        <w:t xml:space="preserve">pour parvenir à sa « permanence </w:t>
      </w:r>
      <w:r w:rsidRPr="00137661">
        <w:rPr>
          <w:szCs w:val="22"/>
          <w:lang w:val="fr-FR"/>
        </w:rPr>
        <w:t xml:space="preserve">indéfinie au pouvoir et au maintien des privilèges et immunités », </w:t>
      </w:r>
    </w:p>
    <w:p w14:paraId="46156703" w14:textId="77777777" w:rsidR="00372B42" w:rsidRPr="00137661" w:rsidRDefault="00372B42" w:rsidP="00ED7E5F">
      <w:pPr>
        <w:widowControl/>
        <w:tabs>
          <w:tab w:val="clear" w:pos="720"/>
          <w:tab w:val="clear" w:pos="1440"/>
          <w:tab w:val="clear" w:pos="2160"/>
          <w:tab w:val="clear" w:pos="2880"/>
          <w:tab w:val="clear" w:pos="3600"/>
          <w:tab w:val="clear" w:pos="4320"/>
          <w:tab w:val="clear" w:pos="5760"/>
          <w:tab w:val="clear" w:pos="6480"/>
          <w:tab w:val="clear" w:pos="7200"/>
          <w:tab w:val="clear" w:pos="7920"/>
        </w:tabs>
        <w:rPr>
          <w:color w:val="000000" w:themeColor="text1"/>
          <w:szCs w:val="22"/>
          <w:lang w:val="fr-FR"/>
        </w:rPr>
      </w:pPr>
    </w:p>
    <w:p w14:paraId="3E1DBB4D" w14:textId="77777777" w:rsidR="00372B42" w:rsidRPr="00137661" w:rsidRDefault="00372B42"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fr-FR"/>
        </w:rPr>
      </w:pPr>
      <w:r w:rsidRPr="00137661">
        <w:rPr>
          <w:szCs w:val="22"/>
          <w:lang w:val="fr-FR"/>
        </w:rPr>
        <w:t>DÉCIDE :</w:t>
      </w:r>
    </w:p>
    <w:p w14:paraId="15A75151" w14:textId="77777777" w:rsidR="00372B42" w:rsidRPr="00137661" w:rsidRDefault="00372B42"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fr-FR"/>
        </w:rPr>
      </w:pPr>
    </w:p>
    <w:p w14:paraId="4EE749D2" w14:textId="77777777" w:rsidR="00372B42" w:rsidRPr="00137661" w:rsidRDefault="00372B42" w:rsidP="00137661">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szCs w:val="22"/>
          <w:lang w:val="fr-FR"/>
        </w:rPr>
      </w:pPr>
      <w:r w:rsidRPr="00137661">
        <w:rPr>
          <w:szCs w:val="22"/>
          <w:lang w:val="fr-FR"/>
        </w:rPr>
        <w:t>De déplorer que les initiatives diplomatiques et techniques entreprises depuis le 5 juin 2018 par l'Organisation des États Américains (OEA) dans le but de promouvoir la démocratie représentative et la protection des droits de la personne au Nicaragua n'aient pas abouti car elles ont été ignorées ou rejetées en bloc par le Gouvernement du Nicaragua.</w:t>
      </w:r>
    </w:p>
    <w:p w14:paraId="1A07DC60" w14:textId="77777777" w:rsidR="00372B42" w:rsidRPr="00137661" w:rsidRDefault="00372B42"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fr-FR"/>
        </w:rPr>
      </w:pPr>
    </w:p>
    <w:p w14:paraId="3A9E159C" w14:textId="4B64B75A" w:rsidR="00372B42" w:rsidRPr="00137661" w:rsidRDefault="00372B42" w:rsidP="00137661">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szCs w:val="22"/>
          <w:lang w:val="fr-FR"/>
        </w:rPr>
      </w:pPr>
      <w:r w:rsidRPr="00137661">
        <w:rPr>
          <w:szCs w:val="22"/>
          <w:lang w:val="fr-FR"/>
        </w:rPr>
        <w:t>De déclarer que, dans des circonstances évidentes, les élections du 7 novembre au Nicaragua n'ont pas été libres, équitables ou transparentes et n'ont aucune légitimité démocratique.</w:t>
      </w:r>
    </w:p>
    <w:p w14:paraId="5DAFC721" w14:textId="652B068E" w:rsidR="00372B42" w:rsidRPr="00137661" w:rsidRDefault="00372B42" w:rsidP="00ED7E5F">
      <w:pPr>
        <w:widowControl/>
        <w:tabs>
          <w:tab w:val="clear" w:pos="720"/>
          <w:tab w:val="clear" w:pos="1440"/>
          <w:tab w:val="clear" w:pos="2160"/>
          <w:tab w:val="clear" w:pos="2880"/>
          <w:tab w:val="clear" w:pos="3600"/>
          <w:tab w:val="clear" w:pos="4320"/>
          <w:tab w:val="clear" w:pos="5760"/>
          <w:tab w:val="clear" w:pos="6480"/>
          <w:tab w:val="clear" w:pos="7200"/>
          <w:tab w:val="clear" w:pos="7920"/>
        </w:tabs>
        <w:rPr>
          <w:color w:val="000000" w:themeColor="text1"/>
          <w:szCs w:val="22"/>
          <w:lang w:val="fr-FR"/>
        </w:rPr>
      </w:pPr>
    </w:p>
    <w:p w14:paraId="3B772570" w14:textId="715215B3" w:rsidR="00372B42" w:rsidRPr="00137661" w:rsidRDefault="00372B42" w:rsidP="00137661">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color w:val="000000" w:themeColor="text1"/>
          <w:szCs w:val="22"/>
          <w:lang w:val="fr-FR"/>
        </w:rPr>
      </w:pPr>
      <w:r w:rsidRPr="00137661">
        <w:rPr>
          <w:szCs w:val="22"/>
          <w:lang w:val="fr-FR"/>
        </w:rPr>
        <w:t xml:space="preserve">De conclure que, sur la base des principes énoncés dans la Charte de l'OEA et la Charte démocratique interaméricaine, les institutions démocratiques du Nicaragua ont été gravement compromises par le Gouvernement. </w:t>
      </w:r>
    </w:p>
    <w:p w14:paraId="64E41B78" w14:textId="77777777" w:rsidR="00372B42" w:rsidRPr="00137661" w:rsidRDefault="00372B42" w:rsidP="00ED7E5F">
      <w:pPr>
        <w:widowControl/>
        <w:tabs>
          <w:tab w:val="clear" w:pos="720"/>
          <w:tab w:val="clear" w:pos="1440"/>
          <w:tab w:val="clear" w:pos="2160"/>
          <w:tab w:val="clear" w:pos="2880"/>
          <w:tab w:val="clear" w:pos="3600"/>
          <w:tab w:val="clear" w:pos="4320"/>
          <w:tab w:val="clear" w:pos="5760"/>
          <w:tab w:val="clear" w:pos="6480"/>
          <w:tab w:val="clear" w:pos="7200"/>
          <w:tab w:val="clear" w:pos="7920"/>
        </w:tabs>
        <w:rPr>
          <w:color w:val="000000" w:themeColor="text1"/>
          <w:szCs w:val="22"/>
          <w:lang w:val="fr-FR"/>
        </w:rPr>
      </w:pPr>
    </w:p>
    <w:p w14:paraId="1DFEA602" w14:textId="77777777" w:rsidR="00372B42" w:rsidRPr="00137661" w:rsidRDefault="00372B42" w:rsidP="00137661">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color w:val="000000" w:themeColor="text1"/>
          <w:szCs w:val="22"/>
          <w:lang w:val="fr-FR"/>
        </w:rPr>
      </w:pPr>
      <w:r w:rsidRPr="00137661">
        <w:rPr>
          <w:szCs w:val="22"/>
          <w:lang w:val="fr-FR"/>
        </w:rPr>
        <w:lastRenderedPageBreak/>
        <w:t>De r</w:t>
      </w:r>
      <w:r w:rsidRPr="00137661">
        <w:rPr>
          <w:color w:val="000000" w:themeColor="text1"/>
          <w:szCs w:val="22"/>
          <w:lang w:val="fr-FR"/>
        </w:rPr>
        <w:t xml:space="preserve">éitérer ses précédents appels à la libération de tous les candidats et </w:t>
      </w:r>
      <w:r w:rsidRPr="00137661">
        <w:rPr>
          <w:szCs w:val="22"/>
          <w:lang w:val="fr-FR"/>
        </w:rPr>
        <w:t>prisonniers</w:t>
      </w:r>
      <w:r w:rsidRPr="00137661">
        <w:rPr>
          <w:color w:val="000000" w:themeColor="text1"/>
          <w:szCs w:val="22"/>
          <w:lang w:val="fr-FR"/>
        </w:rPr>
        <w:t xml:space="preserve"> politiques</w:t>
      </w:r>
      <w:r w:rsidRPr="00137661">
        <w:rPr>
          <w:szCs w:val="22"/>
          <w:lang w:val="fr-FR"/>
        </w:rPr>
        <w:t>, au rétablissement de leurs droits démocratiques et à la fin immédiate de l'arrestation et du harcèlement des médias indépendants et des membres de la société civile.</w:t>
      </w:r>
    </w:p>
    <w:p w14:paraId="4D336548" w14:textId="77777777" w:rsidR="00372B42" w:rsidRPr="00137661" w:rsidRDefault="00372B42" w:rsidP="00ED7E5F">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szCs w:val="22"/>
          <w:lang w:val="fr-FR"/>
        </w:rPr>
      </w:pPr>
    </w:p>
    <w:p w14:paraId="47C14ABB" w14:textId="729554C6" w:rsidR="00372B42" w:rsidRPr="00137661" w:rsidRDefault="00372B42" w:rsidP="00137661">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szCs w:val="22"/>
          <w:lang w:val="fr-FR"/>
        </w:rPr>
      </w:pPr>
      <w:r w:rsidRPr="00137661">
        <w:rPr>
          <w:szCs w:val="22"/>
          <w:lang w:val="fr-FR"/>
        </w:rPr>
        <w:t xml:space="preserve">De charger le Conseil permanent de procéder à une évaluation collective immédiate de la situation, conformément à la </w:t>
      </w:r>
      <w:r w:rsidR="003E1131" w:rsidRPr="00137661">
        <w:rPr>
          <w:szCs w:val="22"/>
          <w:lang w:val="fr-FR"/>
        </w:rPr>
        <w:t>Charte de</w:t>
      </w:r>
      <w:r w:rsidRPr="00137661">
        <w:rPr>
          <w:szCs w:val="22"/>
          <w:lang w:val="fr-FR"/>
        </w:rPr>
        <w:t xml:space="preserve"> l'OEA et à la Charte démocratique interaméricaine, qui devra être achevée au plus tard le 30 novembre, et de prendre les mesures appropriées. </w:t>
      </w:r>
    </w:p>
    <w:p w14:paraId="5F4778CB" w14:textId="77777777" w:rsidR="0081418D" w:rsidRDefault="0081418D"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rPr>
          <w:noProof/>
          <w:szCs w:val="22"/>
          <w:lang w:val="fr-FR"/>
        </w:rPr>
      </w:pPr>
    </w:p>
    <w:p w14:paraId="03BFB349" w14:textId="77777777" w:rsidR="0081418D" w:rsidRDefault="0081418D"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rPr>
          <w:noProof/>
          <w:szCs w:val="22"/>
          <w:lang w:val="fr-FR"/>
        </w:rPr>
      </w:pPr>
    </w:p>
    <w:p w14:paraId="79BFD4A7" w14:textId="77777777" w:rsidR="0081418D" w:rsidRDefault="0081418D"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rPr>
          <w:noProof/>
          <w:szCs w:val="22"/>
          <w:lang w:val="fr-FR"/>
        </w:rPr>
      </w:pPr>
    </w:p>
    <w:p w14:paraId="5A920B4D" w14:textId="09A9662C" w:rsidR="003506A6" w:rsidRPr="00137661" w:rsidRDefault="0081418D"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fr-FR"/>
        </w:rPr>
      </w:pPr>
      <w:r>
        <w:rPr>
          <w:noProof/>
        </w:rPr>
        <w:drawing>
          <wp:anchor distT="0" distB="0" distL="114300" distR="114300" simplePos="0" relativeHeight="251664384" behindDoc="0" locked="0" layoutInCell="1" allowOverlap="1" wp14:anchorId="7EEA9D78" wp14:editId="6B204E86">
            <wp:simplePos x="0" y="0"/>
            <wp:positionH relativeFrom="margin">
              <wp:align>right</wp:align>
            </wp:positionH>
            <wp:positionV relativeFrom="paragraph">
              <wp:posOffset>5527675</wp:posOffset>
            </wp:positionV>
            <wp:extent cx="713232" cy="713232"/>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9F5DBF" w:rsidRPr="00137661">
        <w:rPr>
          <w:noProof/>
          <w:szCs w:val="22"/>
          <w:lang w:val="fr-FR"/>
        </w:rPr>
        <mc:AlternateContent>
          <mc:Choice Requires="wps">
            <w:drawing>
              <wp:anchor distT="0" distB="0" distL="114300" distR="114300" simplePos="0" relativeHeight="251663360" behindDoc="0" locked="1" layoutInCell="1" allowOverlap="1" wp14:anchorId="0F2DF78D" wp14:editId="45D593AB">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1BFDC28" w14:textId="47748AE4" w:rsidR="009F5DBF" w:rsidRPr="009F5DBF" w:rsidRDefault="009F5DBF">
                            <w:pPr>
                              <w:rPr>
                                <w:sz w:val="18"/>
                              </w:rPr>
                            </w:pPr>
                            <w:r>
                              <w:rPr>
                                <w:sz w:val="18"/>
                              </w:rPr>
                              <w:fldChar w:fldCharType="begin"/>
                            </w:r>
                            <w:r>
                              <w:rPr>
                                <w:sz w:val="18"/>
                              </w:rPr>
                              <w:instrText xml:space="preserve"> FILENAME  \* MERGEFORMAT </w:instrText>
                            </w:r>
                            <w:r>
                              <w:rPr>
                                <w:sz w:val="18"/>
                              </w:rPr>
                              <w:fldChar w:fldCharType="separate"/>
                            </w:r>
                            <w:r>
                              <w:rPr>
                                <w:sz w:val="18"/>
                              </w:rPr>
                              <w:t>AG08412</w:t>
                            </w:r>
                            <w:r w:rsidR="00ED7E5F">
                              <w:rPr>
                                <w:sz w:val="18"/>
                              </w:rPr>
                              <w:t>F0</w:t>
                            </w:r>
                            <w:r w:rsidR="00DA409E">
                              <w:rPr>
                                <w:sz w:val="18"/>
                              </w:rPr>
                              <w:t>6</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2DF78D"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42Wk2&#10;ggIAAAkFAAAOAAAAAAAAAAAAAAAAAC4CAABkcnMvZTJvRG9jLnhtbFBLAQItABQABgAIAAAAIQCi&#10;ImOP3gAAAA0BAAAPAAAAAAAAAAAAAAAAANwEAABkcnMvZG93bnJldi54bWxQSwUGAAAAAAQABADz&#10;AAAA5wUAAAAA&#10;" filled="f" stroked="f">
                <v:stroke joinstyle="round"/>
                <v:textbox>
                  <w:txbxContent>
                    <w:p w14:paraId="21BFDC28" w14:textId="47748AE4" w:rsidR="009F5DBF" w:rsidRPr="009F5DBF" w:rsidRDefault="009F5DBF">
                      <w:pPr>
                        <w:rPr>
                          <w:sz w:val="18"/>
                        </w:rPr>
                      </w:pPr>
                      <w:r>
                        <w:rPr>
                          <w:sz w:val="18"/>
                        </w:rPr>
                        <w:fldChar w:fldCharType="begin"/>
                      </w:r>
                      <w:r>
                        <w:rPr>
                          <w:sz w:val="18"/>
                        </w:rPr>
                        <w:instrText xml:space="preserve"> FILENAME  \* MERGEFORMAT </w:instrText>
                      </w:r>
                      <w:r>
                        <w:rPr>
                          <w:sz w:val="18"/>
                        </w:rPr>
                        <w:fldChar w:fldCharType="separate"/>
                      </w:r>
                      <w:r>
                        <w:rPr>
                          <w:sz w:val="18"/>
                        </w:rPr>
                        <w:t>AG08412</w:t>
                      </w:r>
                      <w:r w:rsidR="00ED7E5F">
                        <w:rPr>
                          <w:sz w:val="18"/>
                        </w:rPr>
                        <w:t>F0</w:t>
                      </w:r>
                      <w:r w:rsidR="00DA409E">
                        <w:rPr>
                          <w:sz w:val="18"/>
                        </w:rPr>
                        <w:t>6</w:t>
                      </w:r>
                      <w:r>
                        <w:rPr>
                          <w:sz w:val="18"/>
                        </w:rPr>
                        <w:fldChar w:fldCharType="end"/>
                      </w:r>
                    </w:p>
                  </w:txbxContent>
                </v:textbox>
                <w10:wrap anchory="page"/>
                <w10:anchorlock/>
              </v:shape>
            </w:pict>
          </mc:Fallback>
        </mc:AlternateContent>
      </w:r>
    </w:p>
    <w:sectPr w:rsidR="003506A6" w:rsidRPr="00137661" w:rsidSect="0029266A">
      <w:headerReference w:type="default" r:id="rId14"/>
      <w:headerReference w:type="first" r:id="rId15"/>
      <w:type w:val="oddPage"/>
      <w:pgSz w:w="12240" w:h="15840" w:code="1"/>
      <w:pgMar w:top="2160" w:right="157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B680D" w14:textId="77777777" w:rsidR="001A0418" w:rsidRDefault="001A0418" w:rsidP="001A0418">
      <w:r>
        <w:separator/>
      </w:r>
    </w:p>
  </w:endnote>
  <w:endnote w:type="continuationSeparator" w:id="0">
    <w:p w14:paraId="63693C8D" w14:textId="77777777" w:rsidR="001A0418" w:rsidRDefault="001A0418" w:rsidP="001A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66B8" w14:textId="77777777" w:rsidR="001A0418" w:rsidRDefault="001A0418" w:rsidP="001A0418">
      <w:r>
        <w:separator/>
      </w:r>
    </w:p>
  </w:footnote>
  <w:footnote w:type="continuationSeparator" w:id="0">
    <w:p w14:paraId="049A4F66" w14:textId="77777777" w:rsidR="001A0418" w:rsidRDefault="001A0418" w:rsidP="001A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C0F5" w14:textId="2FA0BB91" w:rsidR="009F5DBF" w:rsidRDefault="009F5DBF">
    <w:pPr>
      <w:pStyle w:val="Header"/>
      <w:jc w:val="center"/>
    </w:pPr>
  </w:p>
  <w:p w14:paraId="5B4627BA" w14:textId="77777777" w:rsidR="009F5DBF" w:rsidRDefault="009F5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6896" w14:textId="1CDCF5FC" w:rsidR="009F5DBF" w:rsidRDefault="009F5DBF">
    <w:pPr>
      <w:pStyle w:val="Header"/>
      <w:jc w:val="center"/>
    </w:pPr>
    <w:r>
      <w:t xml:space="preserve">- </w:t>
    </w:r>
    <w:sdt>
      <w:sdtPr>
        <w:id w:val="-208860363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2</w:t>
        </w:r>
        <w:r>
          <w:fldChar w:fldCharType="end"/>
        </w:r>
        <w:r>
          <w:t xml:space="preserve"> -</w:t>
        </w:r>
      </w:sdtContent>
    </w:sdt>
  </w:p>
  <w:p w14:paraId="6914C038" w14:textId="4F8C3D59" w:rsidR="001A0418" w:rsidRPr="009F5DBF" w:rsidRDefault="001A0418" w:rsidP="009F5DBF">
    <w:pPr>
      <w:pStyle w:val="Header"/>
      <w:rPr>
        <w:lang w:val="es-A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4E64" w14:textId="77777777" w:rsidR="0029266A" w:rsidRDefault="0029266A">
    <w:pPr>
      <w:pStyle w:val="Header"/>
      <w:jc w:val="center"/>
    </w:pPr>
  </w:p>
  <w:p w14:paraId="53E044BE" w14:textId="77777777" w:rsidR="0029266A" w:rsidRDefault="002926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CAAE" w14:textId="77777777" w:rsidR="00EB5FDF" w:rsidRDefault="00EB5FDF">
    <w:pPr>
      <w:pStyle w:val="Header"/>
      <w:jc w:val="center"/>
    </w:pPr>
    <w:r>
      <w:t xml:space="preserve">- </w:t>
    </w:r>
    <w:sdt>
      <w:sdtPr>
        <w:id w:val="38669029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2</w:t>
        </w:r>
        <w:r>
          <w:fldChar w:fldCharType="end"/>
        </w:r>
        <w:r>
          <w:t xml:space="preserve"> -</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6973" w14:textId="09B868CC" w:rsidR="0029266A" w:rsidRPr="0029266A" w:rsidRDefault="0029266A">
    <w:pPr>
      <w:pStyle w:val="Header"/>
      <w:jc w:val="center"/>
      <w:rPr>
        <w:szCs w:val="22"/>
      </w:rPr>
    </w:pPr>
    <w:r w:rsidRPr="0029266A">
      <w:rPr>
        <w:szCs w:val="22"/>
      </w:rPr>
      <w:t xml:space="preserve">- </w:t>
    </w:r>
    <w:sdt>
      <w:sdtPr>
        <w:rPr>
          <w:szCs w:val="22"/>
        </w:rPr>
        <w:id w:val="1128207707"/>
        <w:docPartObj>
          <w:docPartGallery w:val="Page Numbers (Top of Page)"/>
          <w:docPartUnique/>
        </w:docPartObj>
      </w:sdtPr>
      <w:sdtEndPr>
        <w:rPr>
          <w:noProof/>
        </w:rPr>
      </w:sdtEndPr>
      <w:sdtContent>
        <w:r w:rsidRPr="0029266A">
          <w:rPr>
            <w:szCs w:val="22"/>
          </w:rPr>
          <w:fldChar w:fldCharType="begin"/>
        </w:r>
        <w:r w:rsidRPr="0029266A">
          <w:rPr>
            <w:szCs w:val="22"/>
          </w:rPr>
          <w:instrText xml:space="preserve"> PAGE   \* MERGEFORMAT </w:instrText>
        </w:r>
        <w:r w:rsidRPr="0029266A">
          <w:rPr>
            <w:szCs w:val="22"/>
          </w:rPr>
          <w:fldChar w:fldCharType="separate"/>
        </w:r>
        <w:r w:rsidRPr="0029266A">
          <w:rPr>
            <w:noProof/>
            <w:szCs w:val="22"/>
          </w:rPr>
          <w:t>2</w:t>
        </w:r>
        <w:r w:rsidRPr="0029266A">
          <w:rPr>
            <w:noProof/>
            <w:szCs w:val="22"/>
          </w:rPr>
          <w:fldChar w:fldCharType="end"/>
        </w:r>
        <w:r w:rsidRPr="0029266A">
          <w:rPr>
            <w:noProof/>
            <w:szCs w:val="22"/>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A5DF1"/>
    <w:multiLevelType w:val="hybridMultilevel"/>
    <w:tmpl w:val="85B291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71D48A3"/>
    <w:multiLevelType w:val="hybridMultilevel"/>
    <w:tmpl w:val="FD4AC1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52195AF4"/>
    <w:multiLevelType w:val="hybridMultilevel"/>
    <w:tmpl w:val="5E288D06"/>
    <w:lvl w:ilvl="0" w:tplc="853E1E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B2"/>
    <w:rsid w:val="00022D22"/>
    <w:rsid w:val="00137661"/>
    <w:rsid w:val="00162FDE"/>
    <w:rsid w:val="001A0418"/>
    <w:rsid w:val="001B252C"/>
    <w:rsid w:val="00256D9B"/>
    <w:rsid w:val="0029266A"/>
    <w:rsid w:val="003506A6"/>
    <w:rsid w:val="00372B42"/>
    <w:rsid w:val="003E1131"/>
    <w:rsid w:val="003E45C3"/>
    <w:rsid w:val="004A75B2"/>
    <w:rsid w:val="00507111"/>
    <w:rsid w:val="00510F2B"/>
    <w:rsid w:val="00555870"/>
    <w:rsid w:val="00563E06"/>
    <w:rsid w:val="00661200"/>
    <w:rsid w:val="006D79E4"/>
    <w:rsid w:val="006E0DC7"/>
    <w:rsid w:val="006E505D"/>
    <w:rsid w:val="0081418D"/>
    <w:rsid w:val="008E6962"/>
    <w:rsid w:val="00904E1B"/>
    <w:rsid w:val="00947882"/>
    <w:rsid w:val="009867B2"/>
    <w:rsid w:val="009F5DBF"/>
    <w:rsid w:val="00A11EE4"/>
    <w:rsid w:val="00A36FBC"/>
    <w:rsid w:val="00A5242B"/>
    <w:rsid w:val="00AB5331"/>
    <w:rsid w:val="00AF371B"/>
    <w:rsid w:val="00B12F78"/>
    <w:rsid w:val="00B555EB"/>
    <w:rsid w:val="00BA0A70"/>
    <w:rsid w:val="00BC6CAE"/>
    <w:rsid w:val="00BD6258"/>
    <w:rsid w:val="00BE562D"/>
    <w:rsid w:val="00C10F4C"/>
    <w:rsid w:val="00C640AC"/>
    <w:rsid w:val="00C66B45"/>
    <w:rsid w:val="00CE6B7C"/>
    <w:rsid w:val="00D26022"/>
    <w:rsid w:val="00DA409E"/>
    <w:rsid w:val="00E04604"/>
    <w:rsid w:val="00E4796E"/>
    <w:rsid w:val="00E60C2A"/>
    <w:rsid w:val="00EB5FDF"/>
    <w:rsid w:val="00ED7E5F"/>
    <w:rsid w:val="00EE2253"/>
    <w:rsid w:val="00F1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0A98DC"/>
  <w15:docId w15:val="{A9F04BEC-EE53-42C2-BA29-0D3C3C21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5B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Times New Roman" w:eastAsia="Times New Roman" w:hAnsi="Times New Roman" w:cs="Times New Roman"/>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ppercase">
    <w:name w:val="Title Uppercase"/>
    <w:basedOn w:val="Normal"/>
    <w:rsid w:val="004A75B2"/>
    <w:pPr>
      <w:widowControl/>
      <w:tabs>
        <w:tab w:val="clear" w:pos="3600"/>
        <w:tab w:val="clear" w:pos="4320"/>
        <w:tab w:val="clear" w:pos="5760"/>
        <w:tab w:val="clear" w:pos="6480"/>
        <w:tab w:val="left" w:pos="8640"/>
      </w:tabs>
      <w:jc w:val="center"/>
    </w:pPr>
    <w:rPr>
      <w:lang w:eastAsia="en-US"/>
    </w:rPr>
  </w:style>
  <w:style w:type="character" w:styleId="Hyperlink">
    <w:name w:val="Hyperlink"/>
    <w:basedOn w:val="DefaultParagraphFont"/>
    <w:uiPriority w:val="99"/>
    <w:unhideWhenUsed/>
    <w:rsid w:val="00C640AC"/>
    <w:rPr>
      <w:color w:val="0563C1" w:themeColor="hyperlink"/>
      <w:u w:val="single"/>
    </w:rPr>
  </w:style>
  <w:style w:type="character" w:styleId="FollowedHyperlink">
    <w:name w:val="FollowedHyperlink"/>
    <w:basedOn w:val="DefaultParagraphFont"/>
    <w:uiPriority w:val="99"/>
    <w:semiHidden/>
    <w:unhideWhenUsed/>
    <w:rsid w:val="009867B2"/>
    <w:rPr>
      <w:color w:val="954F72" w:themeColor="followedHyperlink"/>
      <w:u w:val="single"/>
    </w:rPr>
  </w:style>
  <w:style w:type="paragraph" w:styleId="BodyText">
    <w:name w:val="Body Text"/>
    <w:basedOn w:val="Normal"/>
    <w:link w:val="BodyTextChar"/>
    <w:uiPriority w:val="1"/>
    <w:qFormat/>
    <w:rsid w:val="00B555E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jc w:val="left"/>
    </w:pPr>
    <w:rPr>
      <w:sz w:val="24"/>
      <w:szCs w:val="24"/>
      <w:lang w:eastAsia="en-US"/>
    </w:rPr>
  </w:style>
  <w:style w:type="character" w:customStyle="1" w:styleId="BodyTextChar">
    <w:name w:val="Body Text Char"/>
    <w:basedOn w:val="DefaultParagraphFont"/>
    <w:link w:val="BodyText"/>
    <w:uiPriority w:val="1"/>
    <w:rsid w:val="00B555EB"/>
    <w:rPr>
      <w:rFonts w:ascii="Times New Roman" w:eastAsia="Times New Roman" w:hAnsi="Times New Roman" w:cs="Times New Roman"/>
      <w:sz w:val="24"/>
      <w:szCs w:val="24"/>
    </w:rPr>
  </w:style>
  <w:style w:type="paragraph" w:styleId="Title">
    <w:name w:val="Title"/>
    <w:basedOn w:val="Normal"/>
    <w:link w:val="TitleChar"/>
    <w:uiPriority w:val="1"/>
    <w:qFormat/>
    <w:rsid w:val="00B555E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1"/>
      <w:ind w:left="798" w:right="798"/>
      <w:jc w:val="center"/>
    </w:pPr>
    <w:rPr>
      <w:rFonts w:ascii="Edwardian Script ITC" w:eastAsia="Edwardian Script ITC" w:hAnsi="Edwardian Script ITC" w:cs="Edwardian Script ITC"/>
      <w:i/>
      <w:iCs/>
      <w:sz w:val="36"/>
      <w:szCs w:val="36"/>
      <w:lang w:eastAsia="en-US"/>
    </w:rPr>
  </w:style>
  <w:style w:type="character" w:customStyle="1" w:styleId="TitleChar">
    <w:name w:val="Title Char"/>
    <w:basedOn w:val="DefaultParagraphFont"/>
    <w:link w:val="Title"/>
    <w:uiPriority w:val="1"/>
    <w:rsid w:val="00B555EB"/>
    <w:rPr>
      <w:rFonts w:ascii="Edwardian Script ITC" w:eastAsia="Edwardian Script ITC" w:hAnsi="Edwardian Script ITC" w:cs="Edwardian Script ITC"/>
      <w:i/>
      <w:iCs/>
      <w:sz w:val="36"/>
      <w:szCs w:val="36"/>
    </w:rPr>
  </w:style>
  <w:style w:type="paragraph" w:styleId="BalloonText">
    <w:name w:val="Balloon Text"/>
    <w:basedOn w:val="Normal"/>
    <w:link w:val="BalloonTextChar"/>
    <w:uiPriority w:val="99"/>
    <w:semiHidden/>
    <w:unhideWhenUsed/>
    <w:rsid w:val="00B555EB"/>
    <w:rPr>
      <w:rFonts w:ascii="Tahoma" w:hAnsi="Tahoma" w:cs="Tahoma"/>
      <w:sz w:val="16"/>
      <w:szCs w:val="16"/>
    </w:rPr>
  </w:style>
  <w:style w:type="character" w:customStyle="1" w:styleId="BalloonTextChar">
    <w:name w:val="Balloon Text Char"/>
    <w:basedOn w:val="DefaultParagraphFont"/>
    <w:link w:val="BalloonText"/>
    <w:uiPriority w:val="99"/>
    <w:semiHidden/>
    <w:rsid w:val="00B555EB"/>
    <w:rPr>
      <w:rFonts w:ascii="Tahoma" w:eastAsia="Times New Roman" w:hAnsi="Tahoma" w:cs="Tahoma"/>
      <w:sz w:val="16"/>
      <w:szCs w:val="16"/>
      <w:lang w:val="fr-CA" w:eastAsia="es-ES"/>
    </w:rPr>
  </w:style>
  <w:style w:type="paragraph" w:styleId="Header">
    <w:name w:val="header"/>
    <w:basedOn w:val="Normal"/>
    <w:link w:val="HeaderChar"/>
    <w:uiPriority w:val="99"/>
    <w:unhideWhenUsed/>
    <w:rsid w:val="001A041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1A0418"/>
    <w:rPr>
      <w:rFonts w:ascii="Times New Roman" w:eastAsia="Times New Roman" w:hAnsi="Times New Roman" w:cs="Times New Roman"/>
      <w:szCs w:val="20"/>
      <w:lang w:val="fr-CA" w:eastAsia="es-ES"/>
    </w:rPr>
  </w:style>
  <w:style w:type="paragraph" w:styleId="Footer">
    <w:name w:val="footer"/>
    <w:basedOn w:val="Normal"/>
    <w:link w:val="FooterChar"/>
    <w:uiPriority w:val="99"/>
    <w:unhideWhenUsed/>
    <w:rsid w:val="001A041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1A0418"/>
    <w:rPr>
      <w:rFonts w:ascii="Times New Roman" w:eastAsia="Times New Roman" w:hAnsi="Times New Roman" w:cs="Times New Roman"/>
      <w:szCs w:val="20"/>
      <w:lang w:val="fr-CA" w:eastAsia="es-ES"/>
    </w:rPr>
  </w:style>
  <w:style w:type="paragraph" w:styleId="ListParagraph">
    <w:name w:val="List Paragraph"/>
    <w:basedOn w:val="Normal"/>
    <w:uiPriority w:val="34"/>
    <w:qFormat/>
    <w:rsid w:val="00BD6258"/>
    <w:pPr>
      <w:ind w:left="720"/>
      <w:contextualSpacing/>
    </w:pPr>
  </w:style>
  <w:style w:type="paragraph" w:customStyle="1" w:styleId="wordsection1">
    <w:name w:val="wordsection1"/>
    <w:basedOn w:val="Normal"/>
    <w:uiPriority w:val="99"/>
    <w:rsid w:val="00BE56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sz w:val="24"/>
      <w:szCs w:val="24"/>
      <w:lang w:eastAsia="en-US"/>
    </w:rPr>
  </w:style>
  <w:style w:type="paragraph" w:styleId="NormalWeb">
    <w:name w:val="Normal (Web)"/>
    <w:basedOn w:val="Normal"/>
    <w:uiPriority w:val="99"/>
    <w:semiHidden/>
    <w:unhideWhenUsed/>
    <w:rsid w:val="00B12F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eastAsia="en-US"/>
    </w:rPr>
  </w:style>
  <w:style w:type="paragraph" w:customStyle="1" w:styleId="xmsonormal">
    <w:name w:val="x_msonormal"/>
    <w:basedOn w:val="Normal"/>
    <w:uiPriority w:val="99"/>
    <w:rsid w:val="00B12F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eastAsia="en-US"/>
    </w:rPr>
  </w:style>
  <w:style w:type="character" w:styleId="UnresolvedMention">
    <w:name w:val="Unresolved Mention"/>
    <w:basedOn w:val="DefaultParagraphFont"/>
    <w:uiPriority w:val="99"/>
    <w:semiHidden/>
    <w:unhideWhenUsed/>
    <w:rsid w:val="001B2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53040">
      <w:bodyDiv w:val="1"/>
      <w:marLeft w:val="0"/>
      <w:marRight w:val="0"/>
      <w:marTop w:val="0"/>
      <w:marBottom w:val="0"/>
      <w:divBdr>
        <w:top w:val="none" w:sz="0" w:space="0" w:color="auto"/>
        <w:left w:val="none" w:sz="0" w:space="0" w:color="auto"/>
        <w:bottom w:val="none" w:sz="0" w:space="0" w:color="auto"/>
        <w:right w:val="none" w:sz="0" w:space="0" w:color="auto"/>
      </w:divBdr>
    </w:div>
    <w:div w:id="471601961">
      <w:bodyDiv w:val="1"/>
      <w:marLeft w:val="0"/>
      <w:marRight w:val="0"/>
      <w:marTop w:val="0"/>
      <w:marBottom w:val="0"/>
      <w:divBdr>
        <w:top w:val="none" w:sz="0" w:space="0" w:color="auto"/>
        <w:left w:val="none" w:sz="0" w:space="0" w:color="auto"/>
        <w:bottom w:val="none" w:sz="0" w:space="0" w:color="auto"/>
        <w:right w:val="none" w:sz="0" w:space="0" w:color="auto"/>
      </w:divBdr>
    </w:div>
    <w:div w:id="495654180">
      <w:bodyDiv w:val="1"/>
      <w:marLeft w:val="0"/>
      <w:marRight w:val="0"/>
      <w:marTop w:val="0"/>
      <w:marBottom w:val="0"/>
      <w:divBdr>
        <w:top w:val="none" w:sz="0" w:space="0" w:color="auto"/>
        <w:left w:val="none" w:sz="0" w:space="0" w:color="auto"/>
        <w:bottom w:val="none" w:sz="0" w:space="0" w:color="auto"/>
        <w:right w:val="none" w:sz="0" w:space="0" w:color="auto"/>
      </w:divBdr>
    </w:div>
    <w:div w:id="635063164">
      <w:bodyDiv w:val="1"/>
      <w:marLeft w:val="0"/>
      <w:marRight w:val="0"/>
      <w:marTop w:val="0"/>
      <w:marBottom w:val="0"/>
      <w:divBdr>
        <w:top w:val="none" w:sz="0" w:space="0" w:color="auto"/>
        <w:left w:val="none" w:sz="0" w:space="0" w:color="auto"/>
        <w:bottom w:val="none" w:sz="0" w:space="0" w:color="auto"/>
        <w:right w:val="none" w:sz="0" w:space="0" w:color="auto"/>
      </w:divBdr>
    </w:div>
    <w:div w:id="1009335726">
      <w:bodyDiv w:val="1"/>
      <w:marLeft w:val="0"/>
      <w:marRight w:val="0"/>
      <w:marTop w:val="0"/>
      <w:marBottom w:val="0"/>
      <w:divBdr>
        <w:top w:val="none" w:sz="0" w:space="0" w:color="auto"/>
        <w:left w:val="none" w:sz="0" w:space="0" w:color="auto"/>
        <w:bottom w:val="none" w:sz="0" w:space="0" w:color="auto"/>
        <w:right w:val="none" w:sz="0" w:space="0" w:color="auto"/>
      </w:divBdr>
    </w:div>
    <w:div w:id="1194466017">
      <w:bodyDiv w:val="1"/>
      <w:marLeft w:val="0"/>
      <w:marRight w:val="0"/>
      <w:marTop w:val="0"/>
      <w:marBottom w:val="0"/>
      <w:divBdr>
        <w:top w:val="none" w:sz="0" w:space="0" w:color="auto"/>
        <w:left w:val="none" w:sz="0" w:space="0" w:color="auto"/>
        <w:bottom w:val="none" w:sz="0" w:space="0" w:color="auto"/>
        <w:right w:val="none" w:sz="0" w:space="0" w:color="auto"/>
      </w:divBdr>
    </w:div>
    <w:div w:id="1317106701">
      <w:bodyDiv w:val="1"/>
      <w:marLeft w:val="0"/>
      <w:marRight w:val="0"/>
      <w:marTop w:val="0"/>
      <w:marBottom w:val="0"/>
      <w:divBdr>
        <w:top w:val="none" w:sz="0" w:space="0" w:color="auto"/>
        <w:left w:val="none" w:sz="0" w:space="0" w:color="auto"/>
        <w:bottom w:val="none" w:sz="0" w:space="0" w:color="auto"/>
        <w:right w:val="none" w:sz="0" w:space="0" w:color="auto"/>
      </w:divBdr>
    </w:div>
    <w:div w:id="17225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2C43D-1C07-4B8C-9577-98B6C6FB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Mayorga, Georgina</dc:creator>
  <cp:lastModifiedBy>Mayorga, Georgina</cp:lastModifiedBy>
  <cp:revision>10</cp:revision>
  <cp:lastPrinted>2021-11-10T12:12:00Z</cp:lastPrinted>
  <dcterms:created xsi:type="dcterms:W3CDTF">2021-11-10T16:56:00Z</dcterms:created>
  <dcterms:modified xsi:type="dcterms:W3CDTF">2021-11-10T18:25:00Z</dcterms:modified>
</cp:coreProperties>
</file>